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14 M.R.S. § 6033,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21 or 30 days (21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 for a tenancy at will; with a written lease, the lease's stated time, at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most 30 days).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[Before sending: confirm the statute covers your tenancy.]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14 M.R.S. § 6034(2), wrongful retention makes you liable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 double the portion wrongfully withheld plus attorney's fees and costs, and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retention is presumed wrongful 7 days after this notice.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getmydepositback.org/maine-security-deposit-demand-letter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